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B7" w:rsidRDefault="004F5A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5AB7" w:rsidRDefault="004F5AB7">
      <w:pPr>
        <w:pStyle w:val="ConsPlusNormal"/>
        <w:jc w:val="both"/>
        <w:outlineLvl w:val="0"/>
      </w:pPr>
    </w:p>
    <w:p w:rsidR="004F5AB7" w:rsidRDefault="004F5AB7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4F5AB7" w:rsidRDefault="004F5A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Title"/>
        <w:jc w:val="center"/>
      </w:pPr>
      <w:r>
        <w:t>МИНИСТЕРСТВО ЗДРАВООХРАНЕНИЯ РОССИЙСКОЙ ФЕДЕРАЦИИ</w:t>
      </w:r>
    </w:p>
    <w:p w:rsidR="004F5AB7" w:rsidRDefault="004F5AB7">
      <w:pPr>
        <w:pStyle w:val="ConsPlusTitle"/>
        <w:jc w:val="center"/>
      </w:pPr>
    </w:p>
    <w:p w:rsidR="004F5AB7" w:rsidRDefault="004F5AB7">
      <w:pPr>
        <w:pStyle w:val="ConsPlusTitle"/>
        <w:jc w:val="center"/>
      </w:pPr>
      <w:r>
        <w:t>ПРИКАЗ</w:t>
      </w:r>
    </w:p>
    <w:p w:rsidR="004F5AB7" w:rsidRDefault="004F5AB7">
      <w:pPr>
        <w:pStyle w:val="ConsPlusTitle"/>
        <w:jc w:val="center"/>
      </w:pPr>
      <w:r>
        <w:t>от 2 декабря 2014 г. N 796н</w:t>
      </w:r>
    </w:p>
    <w:p w:rsidR="004F5AB7" w:rsidRDefault="004F5AB7">
      <w:pPr>
        <w:pStyle w:val="ConsPlusTitle"/>
        <w:jc w:val="center"/>
      </w:pPr>
    </w:p>
    <w:p w:rsidR="004F5AB7" w:rsidRDefault="004F5AB7">
      <w:pPr>
        <w:pStyle w:val="ConsPlusTitle"/>
        <w:jc w:val="center"/>
      </w:pPr>
      <w:bookmarkStart w:id="0" w:name="_GoBack"/>
      <w:r>
        <w:t>ОБ УТВЕРЖДЕНИИ ПОЛОЖЕНИЯ</w:t>
      </w:r>
    </w:p>
    <w:p w:rsidR="004F5AB7" w:rsidRDefault="004F5AB7">
      <w:pPr>
        <w:pStyle w:val="ConsPlusTitle"/>
        <w:jc w:val="center"/>
      </w:pPr>
      <w:r>
        <w:t>ОБ ОРГАНИЗАЦИИ ОКАЗАНИЯ СПЕЦИАЛИЗИРОВАННОЙ,</w:t>
      </w:r>
    </w:p>
    <w:p w:rsidR="004F5AB7" w:rsidRDefault="004F5AB7">
      <w:pPr>
        <w:pStyle w:val="ConsPlusTitle"/>
        <w:jc w:val="center"/>
      </w:pPr>
      <w:r>
        <w:t>В ТОМ ЧИСЛЕ ВЫСОКОТЕХНОЛОГИЧНОЙ, МЕДИЦИНСКОЙ ПОМОЩИ</w:t>
      </w:r>
    </w:p>
    <w:bookmarkEnd w:id="0"/>
    <w:p w:rsidR="004F5AB7" w:rsidRDefault="004F5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B7" w:rsidRDefault="004F5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AB7" w:rsidRDefault="004F5A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</w:tr>
    </w:tbl>
    <w:p w:rsidR="004F5AB7" w:rsidRDefault="004F5AB7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B7" w:rsidRDefault="004F5A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5AB7" w:rsidRDefault="004F5AB7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8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</w:tr>
    </w:tbl>
    <w:p w:rsidR="004F5AB7" w:rsidRDefault="004F5AB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  <w:proofErr w:type="gramEnd"/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right"/>
      </w:pPr>
      <w:r>
        <w:t>Министр</w:t>
      </w:r>
    </w:p>
    <w:p w:rsidR="004F5AB7" w:rsidRDefault="004F5AB7">
      <w:pPr>
        <w:pStyle w:val="ConsPlusNormal"/>
        <w:jc w:val="right"/>
      </w:pPr>
      <w:r>
        <w:t>В.И.СКВОРЦОВА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right"/>
        <w:outlineLvl w:val="0"/>
      </w:pPr>
      <w:r>
        <w:t>Утверждено</w:t>
      </w:r>
    </w:p>
    <w:p w:rsidR="004F5AB7" w:rsidRDefault="004F5AB7">
      <w:pPr>
        <w:pStyle w:val="ConsPlusNormal"/>
        <w:jc w:val="right"/>
      </w:pPr>
      <w:r>
        <w:t>приказом Министерства здравоохранения</w:t>
      </w:r>
    </w:p>
    <w:p w:rsidR="004F5AB7" w:rsidRDefault="004F5AB7">
      <w:pPr>
        <w:pStyle w:val="ConsPlusNormal"/>
        <w:jc w:val="right"/>
      </w:pPr>
      <w:r>
        <w:t>Российской Федерации</w:t>
      </w:r>
    </w:p>
    <w:p w:rsidR="004F5AB7" w:rsidRDefault="004F5AB7">
      <w:pPr>
        <w:pStyle w:val="ConsPlusNormal"/>
        <w:jc w:val="right"/>
      </w:pPr>
      <w:r>
        <w:t>от 2 декабря 2014 г. N 796н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Title"/>
        <w:jc w:val="center"/>
      </w:pPr>
      <w:bookmarkStart w:id="1" w:name="P33"/>
      <w:bookmarkEnd w:id="1"/>
      <w:r>
        <w:t>ПОЛОЖЕНИЕ</w:t>
      </w:r>
    </w:p>
    <w:p w:rsidR="004F5AB7" w:rsidRDefault="004F5AB7">
      <w:pPr>
        <w:pStyle w:val="ConsPlusTitle"/>
        <w:jc w:val="center"/>
      </w:pPr>
      <w:r>
        <w:t>ОБ ОРГАНИЗАЦИИ ОКАЗАНИЯ СПЕЦИАЛИЗИРОВАННОЙ,</w:t>
      </w:r>
    </w:p>
    <w:p w:rsidR="004F5AB7" w:rsidRDefault="004F5AB7">
      <w:pPr>
        <w:pStyle w:val="ConsPlusTitle"/>
        <w:jc w:val="center"/>
      </w:pPr>
      <w:r>
        <w:t>В ТОМ ЧИСЛЕ ВЫСОКОТЕХНОЛОГИЧНОЙ, МЕДИЦИНСКОЙ ПОМОЩИ</w:t>
      </w:r>
    </w:p>
    <w:p w:rsidR="004F5AB7" w:rsidRDefault="004F5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B7" w:rsidRDefault="004F5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AB7" w:rsidRDefault="004F5A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B7" w:rsidRDefault="004F5AB7">
            <w:pPr>
              <w:pStyle w:val="ConsPlusNormal"/>
            </w:pPr>
          </w:p>
        </w:tc>
      </w:tr>
    </w:tbl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3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4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5. </w:t>
      </w:r>
      <w:hyperlink w:anchor="P120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>
        <w:t xml:space="preserve"> лечения при наличии медицинских показаний"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4F5AB7" w:rsidRDefault="004F5AB7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7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8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9">
        <w:r>
          <w:rPr>
            <w:color w:val="0000FF"/>
          </w:rPr>
          <w:t>документация</w:t>
        </w:r>
      </w:hyperlink>
      <w:r>
        <w:t>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4">
        <w:r>
          <w:rPr>
            <w:color w:val="0000FF"/>
          </w:rPr>
          <w:t>МКБ-10</w:t>
        </w:r>
      </w:hyperlink>
      <w:r>
        <w:t xml:space="preserve"> &lt;1&gt;;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5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6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bookmarkStart w:id="5" w:name="P87"/>
      <w:bookmarkEnd w:id="5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9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30">
        <w:r>
          <w:rPr>
            <w:color w:val="0000FF"/>
          </w:rPr>
          <w:t>МКБ-10</w:t>
        </w:r>
      </w:hyperlink>
      <w:r>
        <w:t>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2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right"/>
        <w:outlineLvl w:val="1"/>
      </w:pPr>
      <w:r>
        <w:t>Приложение</w:t>
      </w:r>
    </w:p>
    <w:p w:rsidR="004F5AB7" w:rsidRDefault="004F5AB7">
      <w:pPr>
        <w:pStyle w:val="ConsPlusNormal"/>
        <w:jc w:val="right"/>
      </w:pPr>
      <w:r>
        <w:t>к Положению об организации оказания</w:t>
      </w:r>
    </w:p>
    <w:p w:rsidR="004F5AB7" w:rsidRDefault="004F5AB7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4F5AB7" w:rsidRDefault="004F5AB7">
      <w:pPr>
        <w:pStyle w:val="ConsPlusNormal"/>
        <w:jc w:val="right"/>
      </w:pPr>
      <w:r>
        <w:t>высокотехнологичной, медицинской</w:t>
      </w:r>
    </w:p>
    <w:p w:rsidR="004F5AB7" w:rsidRDefault="004F5AB7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F5AB7" w:rsidRDefault="004F5AB7">
      <w:pPr>
        <w:pStyle w:val="ConsPlusNormal"/>
        <w:jc w:val="right"/>
      </w:pPr>
      <w:r>
        <w:t>Министерства здравоохранения</w:t>
      </w:r>
    </w:p>
    <w:p w:rsidR="004F5AB7" w:rsidRDefault="004F5AB7">
      <w:pPr>
        <w:pStyle w:val="ConsPlusNormal"/>
        <w:jc w:val="right"/>
      </w:pPr>
      <w:r>
        <w:t>Российской Федерации</w:t>
      </w:r>
    </w:p>
    <w:p w:rsidR="004F5AB7" w:rsidRDefault="004F5AB7">
      <w:pPr>
        <w:pStyle w:val="ConsPlusNormal"/>
        <w:jc w:val="right"/>
      </w:pPr>
      <w:r>
        <w:t>от 2 декабря 2014 г. N 796н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center"/>
      </w:pPr>
      <w:bookmarkStart w:id="9" w:name="P120"/>
      <w:bookmarkEnd w:id="9"/>
      <w:r>
        <w:t>ПОРЯДОК</w:t>
      </w:r>
    </w:p>
    <w:p w:rsidR="004F5AB7" w:rsidRDefault="004F5AB7">
      <w:pPr>
        <w:pStyle w:val="ConsPlusNormal"/>
        <w:jc w:val="center"/>
      </w:pPr>
      <w:r>
        <w:t>НАПРАВЛЕНИЯ ПАЦИЕНТОВ В МЕДИЦИНСКИЕ ОРГАНИЗАЦИИ</w:t>
      </w:r>
    </w:p>
    <w:p w:rsidR="004F5AB7" w:rsidRDefault="004F5AB7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4F5AB7" w:rsidRDefault="004F5AB7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4F5AB7" w:rsidRDefault="004F5AB7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>
        <w:r>
          <w:rPr>
            <w:color w:val="0000FF"/>
          </w:rPr>
          <w:t>пунктами 17</w:t>
        </w:r>
      </w:hyperlink>
      <w:r>
        <w:t xml:space="preserve"> и </w:t>
      </w:r>
      <w:hyperlink w:anchor="P104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а) нетипичного течения заболевания и (или) отсутствия эффекта от проводимого лечения;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33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7. </w:t>
      </w:r>
      <w:proofErr w:type="gramStart"/>
      <w: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3">
        <w:r>
          <w:rPr>
            <w:color w:val="0000FF"/>
          </w:rPr>
          <w:t>МКБ-10</w:t>
        </w:r>
      </w:hyperlink>
      <w:r>
        <w:t>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4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6" w:name="P152"/>
      <w:bookmarkEnd w:id="16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5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4F5AB7" w:rsidRDefault="004F5AB7">
      <w:pPr>
        <w:pStyle w:val="ConsPlusNormal"/>
        <w:spacing w:before="220"/>
        <w:ind w:firstLine="540"/>
        <w:jc w:val="both"/>
      </w:pPr>
      <w:proofErr w:type="gramStart"/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4F5AB7" w:rsidRDefault="004F5AB7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7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lastRenderedPageBreak/>
        <w:t>а) фамилия, имя, отчество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>е) электронный адрес (при наличии).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20" w:name="P171"/>
      <w:bookmarkEnd w:id="20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а) паспорт гражданина Российской Федерации (пациента);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22" w:name="P176"/>
      <w:bookmarkEnd w:id="22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20. В случае обращения от имени пациента его </w:t>
      </w:r>
      <w:hyperlink r:id="rId38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>
        <w:r>
          <w:rPr>
            <w:color w:val="0000FF"/>
          </w:rPr>
          <w:t>подпунктах "а"</w:t>
        </w:r>
      </w:hyperlink>
      <w:r>
        <w:t xml:space="preserve"> и </w:t>
      </w:r>
      <w:hyperlink w:anchor="P170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>
        <w:r>
          <w:rPr>
            <w:color w:val="0000FF"/>
          </w:rPr>
          <w:t>пунктами 19</w:t>
        </w:r>
      </w:hyperlink>
      <w:r>
        <w:t xml:space="preserve"> и </w:t>
      </w:r>
      <w:hyperlink w:anchor="P177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</w:t>
      </w:r>
      <w:r>
        <w:lastRenderedPageBreak/>
        <w:t>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4F5AB7" w:rsidRDefault="004F5AB7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jc w:val="both"/>
      </w:pPr>
    </w:p>
    <w:p w:rsidR="004F5AB7" w:rsidRDefault="004F5A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730" w:rsidRDefault="00657730"/>
    <w:sectPr w:rsidR="00657730" w:rsidSect="005D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7"/>
    <w:rsid w:val="004F5AB7"/>
    <w:rsid w:val="006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43&amp;dst=353" TargetMode="External"/><Relationship Id="rId13" Type="http://schemas.openxmlformats.org/officeDocument/2006/relationships/hyperlink" Target="https://login.consultant.ru/link/?req=doc&amp;base=LAW&amp;n=338442&amp;dst=100013" TargetMode="External"/><Relationship Id="rId18" Type="http://schemas.openxmlformats.org/officeDocument/2006/relationships/hyperlink" Target="https://login.consultant.ru/link/?req=doc&amp;base=LAW&amp;n=141711&amp;dst=100005" TargetMode="External"/><Relationship Id="rId26" Type="http://schemas.openxmlformats.org/officeDocument/2006/relationships/hyperlink" Target="https://login.consultant.ru/link/?req=doc&amp;base=LAW&amp;n=99661&amp;dst=10000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89189" TargetMode="External"/><Relationship Id="rId34" Type="http://schemas.openxmlformats.org/officeDocument/2006/relationships/hyperlink" Target="https://login.consultant.ru/link/?req=doc&amp;base=EXPZ&amp;n=731991" TargetMode="External"/><Relationship Id="rId7" Type="http://schemas.openxmlformats.org/officeDocument/2006/relationships/hyperlink" Target="https://login.consultant.ru/link/?req=doc&amp;base=LAW&amp;n=387160&amp;dst=100016" TargetMode="External"/><Relationship Id="rId12" Type="http://schemas.openxmlformats.org/officeDocument/2006/relationships/hyperlink" Target="https://login.consultant.ru/link/?req=doc&amp;base=LAW&amp;n=436343&amp;dst=101149" TargetMode="External"/><Relationship Id="rId17" Type="http://schemas.openxmlformats.org/officeDocument/2006/relationships/hyperlink" Target="https://login.consultant.ru/link/?req=doc&amp;base=LAW&amp;n=141711&amp;dst=100003" TargetMode="External"/><Relationship Id="rId25" Type="http://schemas.openxmlformats.org/officeDocument/2006/relationships/hyperlink" Target="https://login.consultant.ru/link/?req=doc&amp;base=EXPZ&amp;n=731991" TargetMode="External"/><Relationship Id="rId33" Type="http://schemas.openxmlformats.org/officeDocument/2006/relationships/hyperlink" Target="https://login.consultant.ru/link/?req=doc&amp;base=EXPZ&amp;n=731991" TargetMode="External"/><Relationship Id="rId38" Type="http://schemas.openxmlformats.org/officeDocument/2006/relationships/hyperlink" Target="https://login.consultant.ru/link/?req=doc&amp;base=LAW&amp;n=99661&amp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8511&amp;dst=100020" TargetMode="External"/><Relationship Id="rId20" Type="http://schemas.openxmlformats.org/officeDocument/2006/relationships/hyperlink" Target="https://login.consultant.ru/link/?req=doc&amp;base=LAW&amp;n=436343&amp;dst=100817" TargetMode="External"/><Relationship Id="rId29" Type="http://schemas.openxmlformats.org/officeDocument/2006/relationships/hyperlink" Target="https://login.consultant.ru/link/?req=doc&amp;base=EXPZ&amp;n=7319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8511&amp;dst=100020" TargetMode="External"/><Relationship Id="rId11" Type="http://schemas.openxmlformats.org/officeDocument/2006/relationships/hyperlink" Target="https://login.consultant.ru/link/?req=doc&amp;base=LAW&amp;n=338511&amp;dst=100020" TargetMode="External"/><Relationship Id="rId24" Type="http://schemas.openxmlformats.org/officeDocument/2006/relationships/hyperlink" Target="https://login.consultant.ru/link/?req=doc&amp;base=EXPZ&amp;n=731991" TargetMode="External"/><Relationship Id="rId32" Type="http://schemas.openxmlformats.org/officeDocument/2006/relationships/hyperlink" Target="https://login.consultant.ru/link/?req=doc&amp;base=LAW&amp;n=99661&amp;dst=100004" TargetMode="External"/><Relationship Id="rId37" Type="http://schemas.openxmlformats.org/officeDocument/2006/relationships/hyperlink" Target="https://login.consultant.ru/link/?req=doc&amp;base=LAW&amp;n=99661&amp;dst=10000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25761" TargetMode="External"/><Relationship Id="rId23" Type="http://schemas.openxmlformats.org/officeDocument/2006/relationships/hyperlink" Target="https://login.consultant.ru/link/?req=doc&amp;base=LAW&amp;n=358721" TargetMode="External"/><Relationship Id="rId28" Type="http://schemas.openxmlformats.org/officeDocument/2006/relationships/hyperlink" Target="https://login.consultant.ru/link/?req=doc&amp;base=LAW&amp;n=130221" TargetMode="External"/><Relationship Id="rId36" Type="http://schemas.openxmlformats.org/officeDocument/2006/relationships/hyperlink" Target="https://login.consultant.ru/link/?req=doc&amp;base=LAW&amp;n=157176" TargetMode="External"/><Relationship Id="rId10" Type="http://schemas.openxmlformats.org/officeDocument/2006/relationships/hyperlink" Target="https://login.consultant.ru/link/?req=doc&amp;base=LAW&amp;n=100606" TargetMode="External"/><Relationship Id="rId19" Type="http://schemas.openxmlformats.org/officeDocument/2006/relationships/hyperlink" Target="https://login.consultant.ru/link/?req=doc&amp;base=LAW&amp;n=291942&amp;dst=100006" TargetMode="External"/><Relationship Id="rId31" Type="http://schemas.openxmlformats.org/officeDocument/2006/relationships/hyperlink" Target="https://login.consultant.ru/link/?req=doc&amp;base=LAW&amp;n=143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343&amp;dst=100364" TargetMode="External"/><Relationship Id="rId14" Type="http://schemas.openxmlformats.org/officeDocument/2006/relationships/hyperlink" Target="https://login.consultant.ru/link/?req=doc&amp;base=LAW&amp;n=436343&amp;dst=101151" TargetMode="External"/><Relationship Id="rId22" Type="http://schemas.openxmlformats.org/officeDocument/2006/relationships/hyperlink" Target="https://login.consultant.ru/link/?req=doc&amp;base=LAW&amp;n=358721&amp;dst=100058" TargetMode="External"/><Relationship Id="rId27" Type="http://schemas.openxmlformats.org/officeDocument/2006/relationships/hyperlink" Target="https://login.consultant.ru/link/?req=doc&amp;base=LAW&amp;n=436343&amp;dst=100252" TargetMode="External"/><Relationship Id="rId30" Type="http://schemas.openxmlformats.org/officeDocument/2006/relationships/hyperlink" Target="https://login.consultant.ru/link/?req=doc&amp;base=EXPZ&amp;n=731991" TargetMode="External"/><Relationship Id="rId35" Type="http://schemas.openxmlformats.org/officeDocument/2006/relationships/hyperlink" Target="https://login.consultant.ru/link/?req=doc&amp;base=EXPZ&amp;n=7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4971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Оненко Надежда Валентиновна</dc:creator>
  <cp:lastModifiedBy>Оненко Надежда Валентиновна</cp:lastModifiedBy>
  <cp:revision>1</cp:revision>
  <dcterms:created xsi:type="dcterms:W3CDTF">2024-01-11T01:37:00Z</dcterms:created>
  <dcterms:modified xsi:type="dcterms:W3CDTF">2024-01-11T01:38:00Z</dcterms:modified>
</cp:coreProperties>
</file>